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2014/31 vom 5. Mai 2011</w:t>
      </w:r>
    </w:p>
    <w:p>
      <w:r>
        <w:t>Sg Versicherungsgericht, 2011-05-05, DE</w:t>
      </w:r>
    </w:p>
    <w:p>
      <w:r>
        <w:rPr>
          <w:b/>
        </w:rPr>
        <w:t xml:space="preserve">Quelle: </w:t>
      </w:r>
      <w:r>
        <w:t>https://mcp.opencaselaw.ch/entscheid/sg_publikationen_EL 2014_31</w:t>
      </w:r>
    </w:p>
    <w:p>
      <w:r>
        <w:t>FR: SG_VERSICHERUNGSGERICHT EL 2014/31 du 5 mai 2011</w:t>
      </w:r>
    </w:p>
    <w:p>
      <w:r>
        <w:t>IT: SG_VERSICHERUNGSGERICHT EL 2014/31 del 5 maggio 2011</w:t>
      </w:r>
    </w:p>
    <w:p>
      <w:pPr>
        <w:pStyle w:val="Heading2"/>
      </w:pPr>
      <w:r>
        <w:t>Regeste</w:t>
      </w:r>
    </w:p>
    <w:p>
      <w:r>
        <w:t>Art. 11 Abs. 1 lit. g ELG.Gemischte Schenkung einer Liegenschaft. Bewertung eines Wohnrechtes. Ermittlung des Verzichtsvermögens (Entscheid des Versicherungsgerichts des Kantons St. Gallen vom 26. November 2015, EL 2014/31).Entscheid vom 26. November 2015BesetzungVizepräsident Ralph Jöhl, Versicherungsrichterinnen Karin Huber-Studerus und Marie-Theres Rüegg Haltinner; Gerichtsschreiber Tobias BoltGeschäftsnr.EL 2014/31ParteienA.___,Beschwerdeführerin,vertreten durch B.___,gegenSozialversicherungsanstalt des Kantons St. Gallen, Ausgleichskasse, Brauerstrasse 54, Postfach, 9016 St. Gallen,Beschwerdegegnerin,GegenstandErgänzungsleistung zur AHVSachverhalt</w:t>
      </w:r>
    </w:p>
    <w:p>
      <w:pPr>
        <w:pStyle w:val="Heading2"/>
      </w:pPr>
      <w:r>
        <w:t>Erwägungen</w:t>
      </w:r>
    </w:p>
    <w:p>
      <w:r>
        <w:rPr>
          <w:b/>
        </w:rPr>
        <w:t>E. 3</w:t>
      </w:r>
    </w:p>
    <w:p>
      <w:r>
        <w:t>3.1      Der Wert der Liegenschaft hat gemäss der im Sommer 2007 noch aktuellen amtlichen Schätzung 628’000 Franken betragen. Für die Bewertung eines Vermögenswertes im Rahmen eines Rechtsgeschäftes ist der Zeitpunkt, in dem das Rechtsgeschäft abgewickelt wird, massgebend. Gemäss dem Art. 17 Abs. 5 Satz 1 ELV müsste an sich mittels weiterer Abklärungen ermittelt werden, welches der Marktwert der Liegenschaft im Sommer 2007 gewesen ist. Da dieser Zeitpunkt aber bereits über acht Jahre zurückliegt, kann von weiteren Abklärungen in antizipierender Beweiswürdigung kein Nachweis eines überwiegend wahrscheinlich eher als die amtliche Schätzung dem realen Marktwert entsprechenden Wertes der Liegenschaft erwartet werden. Aus diesem Grund ist für die Prüfung des Leistungsbegehrens der Beschwerdeführerin auf den damaligen Schätzwert von 628’000 Franken für die Liegenschaft abzustellen. 3.2      Der Liegenschaft hat im Sommer 2007 keine erbrechtliche Forderung der übrigen Erben respektive der Kinder der Beschwerdeführerin mehr gegenüber gestanden. Die von der Beschwerdegegnerin vorgenommene Reduktion des Wertes der Liegenschaft um den Erbanteil der Kinder, auf den diese verzichtet haben, erweist sich damit als rechtsfehlerhaft. Bei der Berechnung des Vermögensverzichtes ist keine Schuld der Beschwerdeführerin gegenüber ihren Kindern zu berücksichtigen. 3.3      Von ihrem Sohn hat die Beschwerdeführerin 180’000 Franken für die Liegenschaft erhalten. In diesem Betrag kann sie nicht auf ein Vermögen verzichtet haben. 3.4      Zudem hat ihr der Sohn ein lebenslängliches Wohnrecht an der Liegenschaft eingeräumt. Die Argumentation der Beschwerdegegnerin, das Wohnrecht dürfe nicht berücksichtigt werden, weil es nicht im Grundbuch eingetragen worden sei, geht fehl. Zwar entsteht ein – dingliches – Wohnrecht im Sinne der Art. 776 ff. ZGB an einem Grundstück tatsächlich erst mit der Eintragung ins Grundbuch (vgl. Art. 776 Abs. 3 i.V.m. Art. 746 Abs. 1 ZGB). In der Rechtsprechung und in der Lehre ist allerdings die Möglichkeit anerkannt, ein Wohnrecht in der Form eines persönlichen – statt eines dinglichen – Rechts vorzusehen, wofür keine spezielle Formvorschrift zu beachten ist (BSK ZGB II-Mooser, Art. 776 N 13, mit Hinweisen). Zudem ist ergänzungsleistungsrechtlich entscheidend, ob und allenfalls welchen wirtschaftlichen Vorteil die Beschwerdeführerin erhalten hat. Mit den eingereichten Akten ist hinreichend belegt, dass der Sohn der Beschwerdeführerin dieser ein lebenslängliches Wohnrecht eingeräumt hat, das diese dann auch während zweieinhalb Jahren (bis zum Heimeintritt im Dezember 2009) effektiv ausgeübt hat. Folglich ist mit dem erforderlichen Beweisgrad der überwiegenden Wahrscheinlichkeit belegt, dass die Beschwerdeführerin zusätzlich zum Kaufpreis von 180’000 Franken eine weitere Gegenleistung in der Form eines lebenslänglichen Wohnrechtes an der Liegenschaft erhalten hat. Mangels zuverlässigerer Angaben ist – wie bezüglich des Wertes der Liegenschaft im Übertragungszeitpunkt – für die Ermittlung des Wertes des Wohnrechtes auf die damals massgebende amtliche Schätzung abzustellen. Laut dieser hat sich der Mietwert des Hauses (ohne Garage und Schopf) auf 15’975 Franken belaufen (EL-act. 61–6). Der Wert des Wohnrechtes wird nicht retrospektiv ermittelt, wie die Beschwerdeführerin fälschlicherweise angenommen hat, denn entscheidend ist die prospektive Schätzung des Wertes im Zeitpunkt des Vertragsschlusses. Ein Wohnrechtsvertrag weist zwingend – wie eine Versicherung – aleatorische Züge auf. Die Beschwerdeführerin und ihr Sohn haben im Zeitpunkt der Übertragung der Liegenschaft den Verkaufspreis unter Berücksichtigung eines lebenslänglichen Wohnrechtes vereinbart; sie haben damals nicht mit einem nur zweieinhalb Jahre umfassenden Zeitraum gerechnet, weil sie nicht haben wissen können, wie lange die Beschwerdeführerin ihr Wohnrecht werde ausüben können. Der Wert des Wohnrechtes ist folglich mittels einer Kapitalisierung des jährlichen Wertes unter Berücksichtigung der statistischen verbleibenden Lebenserwartung der Beschwerdeführerin im Zeitpunkt des Vertragsabschlusses (Sommer 2007) zu ermitteln. Massgebend sind gemäss der bundesgerichtlichen Rechtsprechung die Kapitalisierungstabellen der Eidgenössischen Steuerverwaltung (vgl. BGE 122 V 394 E. 4a S. 399 f. und Urteil 9C_157/2014 vom 24. Juni 2014, E. 5.1). Die Beschwerdegegnerin (Jahrgang 1925) ist im Zeitpunkt der Übertragung der Liegenschaft im Sommer 2007 82 Jahre alt gewesen. Der Kapitalisierungsfaktor hat folglich gemäss der einschlägigen von der Eidgenössischen Steuerverwaltung herausgegebenen Tabelle 9.837 (= 1’000 ÷ 101.66) betragen. Der Wert des Wohnrechtes hat sich also auf 157’146 Franken (= 9.837 × 15’975 Franken) belaufen. 3.5      Demnach hat die Beschwerdeführerin für ihre Liegenschaft, die damals 628’000 Franken wert gewesen ist, von ihrem Sohn eine gesamte Gegenleistung von 337’146 Franken erhalten. Sie hat demnach auf 290’854 Franken verzichtet. Der Umstand, dass sie ihr übriges, reales Vermögen zwischenzeitlich für ihren alltäglichen Bedarf hat verbrauchen müssen, hat mit diesem Vermögensverzicht nichts zu tun, weshalb der reale Vermögensverbrauch nicht mit dem Vermögensverzicht „verrechnet“ werden kann. 3.6      Der Verzicht hat im Sommer 2007 stattgefunden. Gemäss dem Art. 17a ELV ist der Betrag des Verzichtsvermögens erstmals ab Januar 2009 und in der Folge jährlich jeweils um 10’000 Franken zu reduzieren gewesen. Im Jahr 2013 hat also ein Verzichtsvermögen von 240’854 Franken (= 290’854 – 5 × 10’000 Franken) angerechnet werden müssen.</w:t>
      </w:r>
    </w:p>
    <w:p>
      <w:r>
        <w:rPr>
          <w:b/>
        </w:rPr>
        <w:t>E. 4</w:t>
      </w:r>
    </w:p>
    <w:p>
      <w:r>
        <w:t>4.1      Die ergänzungsleistungsrechtlich anerkannten Ausgaben der Beschwerdeführerin haben sich auf total 61’855 Franken belaufen. Sie haben sich aus der Prämienpauschale für die obligatorische Krankenpflegeversicherung, aus der Heimtaxe und aus einer Pauschale für die persönlichen Auslagen zusammengesetzt. 4.2      Als Einnahmen sind die Renten der AHV und der Militärversicherung (total 36’775 Franken), Sparzinsen (138 Franken), ein fiktiver Vermögensertrag als Folge der Anrechnung eines Vermögensverzichtes sowie ein Fünftel des den Freibetrag übersteigenden Vermögens als Vermögensverzehr anzurechnen. Das effektive Vermögen hat 18’853 Franken betragen. Zusammen mit dem Vermögensverzicht von 240’854 Franken und unter Berücksichtigung des Freibetrages von 37’500 Franken sowie der in der Steuerveranlagungsverfügung ausgewiesenen Schulden von 6’028 Franken ergibt sich ein anrechenbares Vermögen von 216’179 Franken und damit ein Vermögensverzehr von 43’236 Franken. Damit resultiert bereits ohne die fiktiven Vermögenserträge ein das Ausgabentotal von 61’855 Franken weit übersteigendes Einnahmentotal von 80’149 Franken. Folglich hat kein Anspruch auf eine Ergänzungsleistung bestanden. 5.         Der angefochtene Einspracheentscheid vom 18. Juli 2014 erweist sich demzufolge im Ergebnis als rechtmässig, weshalb die Beschwerde abzuweisen ist.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